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794" w:rsidRDefault="00401794" w:rsidP="00401794">
      <w:pPr>
        <w:jc w:val="both"/>
      </w:pPr>
      <w:r>
        <w:t>El artículo 7.e) de la Orden 51/2023, de 17 de marzo, de la Consejería de Agricultura, Agua y Desarrollo Rural, por la que se establecen las normas y requisitos para la asignación financiera y la ejecución de estrategias de desarrollo local participativo (EDLP) en Castilla-La Mancha, en el marco del Plan Estratégico de la PAC 2023-2027 de España (</w:t>
      </w:r>
      <w:proofErr w:type="spellStart"/>
      <w:r>
        <w:t>Pepac</w:t>
      </w:r>
      <w:proofErr w:type="spellEnd"/>
      <w:r>
        <w:t>), de acuerdo con los artículos 31 al 33 del Reglamento UE 2021/1060 del Parlamento Europeo y del Consejo, dice:</w:t>
      </w:r>
    </w:p>
    <w:p w:rsidR="00401794" w:rsidRDefault="00401794" w:rsidP="00401794">
      <w:pPr>
        <w:jc w:val="both"/>
      </w:pPr>
    </w:p>
    <w:p w:rsidR="00401794" w:rsidRDefault="00401794" w:rsidP="00401794">
      <w:pPr>
        <w:jc w:val="both"/>
      </w:pPr>
      <w:r>
        <w:t>e) Los costes de proyectos promovidos por Ayuntamientos serán subvencionables en las condiciones reguladas en el artículo 61 del Reglamento (UE) 2022/2472 de la Comisión de 14 de diciembre de 2022 por el que se declaran determinadas categorías de ayuda en los sectores agrícola y forestal y en zonas rurales compatibles con el mercado interior en aplicación de los artículos 107 y 108 del Tratado de Funcionamiento de la Unión Europea.</w:t>
      </w:r>
    </w:p>
    <w:p w:rsidR="00401794" w:rsidRDefault="00401794" w:rsidP="00401794">
      <w:pPr>
        <w:jc w:val="both"/>
      </w:pPr>
    </w:p>
    <w:p w:rsidR="00401794" w:rsidRDefault="00401794" w:rsidP="00401794">
      <w:pPr>
        <w:jc w:val="both"/>
      </w:pPr>
      <w:r>
        <w:t>A su vez, el artículo 61 del Reglamento 2022/2472 en su apartado 2 dice:</w:t>
      </w:r>
    </w:p>
    <w:p w:rsidR="00401794" w:rsidRDefault="00401794" w:rsidP="00401794">
      <w:pPr>
        <w:jc w:val="both"/>
      </w:pPr>
    </w:p>
    <w:p w:rsidR="00401794" w:rsidRDefault="00401794" w:rsidP="00401794">
      <w:pPr>
        <w:jc w:val="both"/>
      </w:pPr>
      <w:r>
        <w:t>2. Los costes soportados por los municipios que participen en proyectos de DLP a que se refiere el apartado 1 podrán optar a ayudas en virtud del presente artículo siempre que estos se lleven a cabo en uno o varios de los siguientes ámbitos:</w:t>
      </w:r>
    </w:p>
    <w:p w:rsidR="00401794" w:rsidRDefault="00401794" w:rsidP="00401794">
      <w:pPr>
        <w:jc w:val="both"/>
      </w:pPr>
      <w:r>
        <w:t>a</w:t>
      </w:r>
      <w:r>
        <w:rPr>
          <w:b/>
          <w:bCs/>
        </w:rPr>
        <w:t>) investigación, desarrollo e innovación</w:t>
      </w:r>
      <w:r>
        <w:t xml:space="preserve">; </w:t>
      </w:r>
    </w:p>
    <w:p w:rsidR="00401794" w:rsidRDefault="00401794" w:rsidP="00401794">
      <w:pPr>
        <w:jc w:val="both"/>
      </w:pPr>
      <w:r>
        <w:t>b</w:t>
      </w:r>
      <w:r>
        <w:rPr>
          <w:b/>
          <w:bCs/>
        </w:rPr>
        <w:t>) medio ambiente</w:t>
      </w:r>
      <w:r>
        <w:t xml:space="preserve">; </w:t>
      </w:r>
    </w:p>
    <w:p w:rsidR="00401794" w:rsidRDefault="00401794" w:rsidP="00401794">
      <w:pPr>
        <w:jc w:val="both"/>
      </w:pPr>
      <w:r>
        <w:t xml:space="preserve">c) </w:t>
      </w:r>
      <w:r>
        <w:rPr>
          <w:b/>
          <w:bCs/>
        </w:rPr>
        <w:t>empleo y formación</w:t>
      </w:r>
      <w:r>
        <w:t xml:space="preserve">; </w:t>
      </w:r>
    </w:p>
    <w:p w:rsidR="00401794" w:rsidRDefault="00401794" w:rsidP="00401794">
      <w:pPr>
        <w:jc w:val="both"/>
      </w:pPr>
      <w:r>
        <w:t xml:space="preserve">d) </w:t>
      </w:r>
      <w:r>
        <w:rPr>
          <w:b/>
          <w:bCs/>
        </w:rPr>
        <w:t>cultura y conservación del patrimonio</w:t>
      </w:r>
      <w:r>
        <w:t xml:space="preserve">; </w:t>
      </w:r>
    </w:p>
    <w:p w:rsidR="00401794" w:rsidRDefault="00401794" w:rsidP="00401794">
      <w:pPr>
        <w:jc w:val="both"/>
      </w:pPr>
      <w:r>
        <w:t xml:space="preserve">e) </w:t>
      </w:r>
      <w:r>
        <w:rPr>
          <w:b/>
          <w:bCs/>
        </w:rPr>
        <w:t>silvicultura</w:t>
      </w:r>
      <w:r>
        <w:t xml:space="preserve">; </w:t>
      </w:r>
    </w:p>
    <w:p w:rsidR="00401794" w:rsidRDefault="00401794" w:rsidP="00401794">
      <w:pPr>
        <w:jc w:val="both"/>
      </w:pPr>
      <w:r>
        <w:t xml:space="preserve">f) </w:t>
      </w:r>
      <w:r>
        <w:rPr>
          <w:b/>
          <w:bCs/>
        </w:rPr>
        <w:t>promoción de los productos alimentarios no incluidos en el anexo I del Tratado</w:t>
      </w:r>
      <w:r>
        <w:t xml:space="preserve">; </w:t>
      </w:r>
    </w:p>
    <w:p w:rsidR="00401794" w:rsidRDefault="00401794" w:rsidP="00401794">
      <w:pPr>
        <w:jc w:val="both"/>
      </w:pPr>
      <w:r>
        <w:t xml:space="preserve">g) </w:t>
      </w:r>
      <w:r>
        <w:rPr>
          <w:b/>
          <w:bCs/>
        </w:rPr>
        <w:t>deportes</w:t>
      </w:r>
      <w:r>
        <w:t>.</w:t>
      </w:r>
    </w:p>
    <w:p w:rsidR="00401794" w:rsidRDefault="00401794" w:rsidP="00401794">
      <w:pPr>
        <w:jc w:val="both"/>
      </w:pPr>
    </w:p>
    <w:p w:rsidR="00401794" w:rsidRDefault="00401794" w:rsidP="00401794">
      <w:pPr>
        <w:jc w:val="both"/>
      </w:pPr>
      <w:r>
        <w:t xml:space="preserve">Por tanto, según la normativa que rige el funcionamiento de Leader 2023-2027, </w:t>
      </w:r>
      <w:r>
        <w:rPr>
          <w:b/>
          <w:bCs/>
        </w:rPr>
        <w:t xml:space="preserve">para que un proyecto promovido por un ayuntamiento sea </w:t>
      </w:r>
      <w:proofErr w:type="spellStart"/>
      <w:r>
        <w:rPr>
          <w:b/>
          <w:bCs/>
        </w:rPr>
        <w:t>auxiliable</w:t>
      </w:r>
      <w:proofErr w:type="spellEnd"/>
      <w:r>
        <w:rPr>
          <w:b/>
          <w:bCs/>
        </w:rPr>
        <w:t>, éste debe corresponder a alguno de los ámbitos mencionados</w:t>
      </w:r>
      <w:r>
        <w:t xml:space="preserve">. Así pues, queda aclarado, por el Reglamento Europeo, que no serán </w:t>
      </w:r>
      <w:proofErr w:type="spellStart"/>
      <w:r>
        <w:t>auxiliables</w:t>
      </w:r>
      <w:proofErr w:type="spellEnd"/>
      <w:r>
        <w:t xml:space="preserve"> por Leader 2023-2027, actuaciones habituales de mantenimiento municipal como arreglo de calles, </w:t>
      </w:r>
      <w:proofErr w:type="gramStart"/>
      <w:r>
        <w:t>iluminación municipal y similares</w:t>
      </w:r>
      <w:proofErr w:type="gramEnd"/>
      <w:r>
        <w:t>.</w:t>
      </w:r>
    </w:p>
    <w:p w:rsidR="003157DA" w:rsidRDefault="003157DA" w:rsidP="00401794">
      <w:pPr>
        <w:jc w:val="both"/>
      </w:pPr>
      <w:bookmarkStart w:id="0" w:name="_GoBack"/>
      <w:bookmarkEnd w:id="0"/>
    </w:p>
    <w:sectPr w:rsidR="003157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794"/>
    <w:rsid w:val="003157DA"/>
    <w:rsid w:val="00401794"/>
    <w:rsid w:val="004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794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794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4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Lupe Carballo</dc:creator>
  <cp:lastModifiedBy>Lupe Carballo</cp:lastModifiedBy>
  <cp:revision>1</cp:revision>
  <dcterms:created xsi:type="dcterms:W3CDTF">2024-07-15T11:06:00Z</dcterms:created>
  <dcterms:modified xsi:type="dcterms:W3CDTF">2024-07-15T11:07:00Z</dcterms:modified>
</cp:coreProperties>
</file>